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74ED">
      <w:pPr>
        <w:pStyle w:val="ConsPlusNormal"/>
        <w:jc w:val="both"/>
      </w:pPr>
      <w:bookmarkStart w:id="0" w:name="_GoBack"/>
      <w:bookmarkEnd w:id="0"/>
      <w:r>
        <w:t> </w:t>
      </w:r>
    </w:p>
    <w:p w:rsidR="00000000" w:rsidRDefault="001374ED">
      <w:pPr>
        <w:pStyle w:val="ConsPlusNormal"/>
        <w:jc w:val="center"/>
      </w:pPr>
      <w:bookmarkStart w:id="1" w:name="Par35"/>
      <w:bookmarkEnd w:id="1"/>
      <w:r>
        <w:t>Сведения</w:t>
      </w:r>
    </w:p>
    <w:p w:rsidR="00000000" w:rsidRDefault="001374ED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1374ED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1374ED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Реконструкция Учебно-тренировочного центра «Физкультурно-оздоровительный комплекс «Авангард»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Реконструкция Учебно-тренировочного центра «Физкультурно-оздоровительный комплекс «Авангард»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Муниципальное казенное учреждение управление капитального строительства администрации города Ялты Республики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Крым Респ, Ялта г, С</w:t>
            </w:r>
            <w:r>
              <w:t>оветская пл, д. 1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Общество с ограниченной ответственностью "ИнтелСтрой"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 xml:space="preserve">Субъект Российской Федерации, на территории которого расположен </w:t>
            </w:r>
            <w:r>
              <w:t>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Крым Респ, Ялта г, Советская пл, д. 1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91-1-1-3-0610-17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18.08.2017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886.46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 xml:space="preserve">Сведения о непревышении стоимости строительства объекта капитального строительства показателей укрупненных нормативов цены </w:t>
            </w:r>
            <w:r>
              <w:t>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Реконструкция Учебно-тренировочного центра «Физкультурно-оздоровительный комплекс «Авангард»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 xml:space="preserve">Технико-экономические характеристики объекта </w:t>
            </w:r>
            <w:r>
              <w:t>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9507,83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6046,33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3769,80 3769,80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42009,19 42009,19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Класс энергоэффективности объекта капитального строительства &lt;</w:t>
            </w:r>
            <w:r>
              <w:t>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Трибуна на 4000 мест с подтрибунными помещениями, 24 места в скай-боксах, 36 мест в VIP ложе, входные группы №1 и №2, блочная котельная, трансформаторная подстанция.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IV 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 xml:space="preserve">Код снегового района </w:t>
            </w:r>
            <w:r>
              <w:t>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расчетная сейсмичность 8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 xml:space="preserve">Наличие опасных геологических и </w:t>
            </w:r>
            <w:r>
              <w:t>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Сейсмичность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374ED">
            <w:pPr>
              <w:pStyle w:val="ConsPlusNormal"/>
            </w:pPr>
            <w:r>
              <w:t> </w:t>
            </w:r>
          </w:p>
        </w:tc>
      </w:tr>
    </w:tbl>
    <w:p w:rsidR="00000000" w:rsidRDefault="001374ED">
      <w:pPr>
        <w:pStyle w:val="ConsPlusNormal"/>
        <w:jc w:val="both"/>
      </w:pPr>
      <w:r>
        <w:t> </w:t>
      </w:r>
    </w:p>
    <w:p w:rsidR="00000000" w:rsidRDefault="001374ED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1374ED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1374ED">
      <w:pPr>
        <w:pStyle w:val="ConsPlusNormal"/>
        <w:ind w:right="142" w:firstLine="540"/>
        <w:jc w:val="both"/>
      </w:pPr>
      <w:bookmarkStart w:id="3" w:name="Par144"/>
      <w:bookmarkEnd w:id="3"/>
      <w:r>
        <w:t xml:space="preserve">&lt;2&gt; </w:t>
      </w:r>
      <w:r>
        <w:t>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1374ED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для юр</w:t>
      </w:r>
      <w:r>
        <w:t>идических лиц или указывается фамилия, имя, отчество (при наличии) для физических лиц.</w:t>
      </w:r>
    </w:p>
    <w:p w:rsidR="00000000" w:rsidRDefault="001374ED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</w:t>
      </w:r>
      <w:r>
        <w:t>ывается фамилия, имя, отчество (при наличии) для физических лиц.</w:t>
      </w:r>
    </w:p>
    <w:p w:rsidR="00000000" w:rsidRDefault="001374ED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</w:t>
      </w:r>
      <w:r>
        <w:t>ории которых будет расположен объект.</w:t>
      </w:r>
    </w:p>
    <w:p w:rsidR="00000000" w:rsidRDefault="001374ED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</w:t>
      </w:r>
      <w:r>
        <w:t>льстве (реконструкции) линейного объекта.</w:t>
      </w:r>
    </w:p>
    <w:p w:rsidR="00000000" w:rsidRDefault="001374ED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</w:t>
      </w:r>
      <w:r>
        <w:t xml:space="preserve"> повторного использования, ставится "-".</w:t>
      </w:r>
    </w:p>
    <w:p w:rsidR="00000000" w:rsidRDefault="001374ED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1374ED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</w:t>
      </w:r>
      <w:r>
        <w:t>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1374ED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1374ED">
      <w:pPr>
        <w:pStyle w:val="ConsPlusNormal"/>
        <w:ind w:right="142" w:firstLine="540"/>
        <w:jc w:val="both"/>
      </w:pPr>
      <w:r>
        <w:t>При отсутствии укрупнен</w:t>
      </w:r>
      <w:r>
        <w:t>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</w:t>
      </w:r>
      <w:r>
        <w:t>рии, на которой планируется осуществлять строительство.</w:t>
      </w:r>
    </w:p>
    <w:p w:rsidR="00000000" w:rsidRDefault="001374ED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1374ED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</w:t>
      </w:r>
      <w:r>
        <w:t>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1374ED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1374ED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</w:t>
      </w:r>
      <w:r>
        <w:t>апитального строительства, у которых отсутствует данный параметр (ставится "-").</w:t>
      </w:r>
    </w:p>
    <w:p w:rsidR="00000000" w:rsidRDefault="001374ED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1374ED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1374ED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</w:t>
      </w:r>
      <w:r>
        <w:t>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1374ED" w:rsidRDefault="001374ED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</w:t>
      </w:r>
      <w:r>
        <w:t>, проводившей государственную экспертизу проектной документации объекта капитального строительства.</w:t>
      </w:r>
    </w:p>
    <w:sectPr w:rsidR="001374ED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340B"/>
    <w:rsid w:val="001374ED"/>
    <w:rsid w:val="003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2017-09-14T12:57:00Z</dcterms:created>
  <dcterms:modified xsi:type="dcterms:W3CDTF">2017-09-14T12:57:00Z</dcterms:modified>
</cp:coreProperties>
</file>